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60"/>
        <w:jc w:val="center"/>
        <w:rPr>
          <w:iCs/>
          <w:sz w:val="22"/>
          <w:szCs w:val="22"/>
          <w:lang w:val="sr-CS"/>
        </w:rPr>
      </w:pPr>
      <w:r>
        <w:rPr>
          <w:b/>
          <w:iCs/>
          <w:sz w:val="22"/>
          <w:szCs w:val="22"/>
          <w:lang w:val="sr-CS"/>
        </w:rPr>
        <w:t>Табела. 9.</w:t>
      </w:r>
      <w:r>
        <w:rPr>
          <w:b/>
          <w:iCs/>
          <w:sz w:val="22"/>
          <w:szCs w:val="22"/>
        </w:rPr>
        <w:t>8</w:t>
      </w:r>
      <w:r>
        <w:rPr>
          <w:iCs/>
          <w:sz w:val="22"/>
          <w:szCs w:val="22"/>
          <w:lang w:val="sr-CS"/>
        </w:rPr>
        <w:t xml:space="preserve"> Компетентност ментора</w:t>
      </w:r>
    </w:p>
    <w:tbl>
      <w:tblPr>
        <w:tblW w:w="3050" w:type="pct"/>
        <w:jc w:val="center"/>
        <w:tblInd w:w="0" w:type="dxa"/>
        <w:tblCellMar>
          <w:top w:w="0" w:type="dxa"/>
          <w:left w:w="108" w:type="dxa"/>
          <w:bottom w:w="0" w:type="dxa"/>
          <w:right w:w="108" w:type="dxa"/>
        </w:tblCellMar>
        <w:tblLook w:val="01e0"/>
      </w:tblPr>
      <w:tblGrid>
        <w:gridCol w:w="461"/>
        <w:gridCol w:w="26"/>
        <w:gridCol w:w="840"/>
        <w:gridCol w:w="752"/>
        <w:gridCol w:w="78"/>
        <w:gridCol w:w="905"/>
        <w:gridCol w:w="179"/>
        <w:gridCol w:w="77"/>
        <w:gridCol w:w="921"/>
        <w:gridCol w:w="244"/>
        <w:gridCol w:w="448"/>
        <w:gridCol w:w="574"/>
      </w:tblGrid>
      <w:tr>
        <w:trPr>
          <w:trHeight w:val="227" w:hRule="atLeast"/>
        </w:trPr>
        <w:tc>
          <w:tcPr>
            <w:tcW w:w="2079"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Име и презиме</w:t>
            </w:r>
          </w:p>
        </w:tc>
        <w:tc>
          <w:tcPr>
            <w:tcW w:w="3426"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Марија Митровић Данкулов</w:t>
            </w:r>
          </w:p>
        </w:tc>
      </w:tr>
      <w:tr>
        <w:trPr>
          <w:trHeight w:val="227" w:hRule="atLeast"/>
        </w:trPr>
        <w:tc>
          <w:tcPr>
            <w:tcW w:w="2079"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Звање</w:t>
            </w:r>
          </w:p>
        </w:tc>
        <w:tc>
          <w:tcPr>
            <w:tcW w:w="3426"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Виши научни сарадник</w:t>
            </w:r>
          </w:p>
        </w:tc>
      </w:tr>
      <w:tr>
        <w:trPr>
          <w:trHeight w:val="227" w:hRule="atLeast"/>
        </w:trPr>
        <w:tc>
          <w:tcPr>
            <w:tcW w:w="2079"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Ужа научна, уметничка односно стручна  област</w:t>
            </w:r>
          </w:p>
        </w:tc>
        <w:tc>
          <w:tcPr>
            <w:tcW w:w="3426" w:type="dxa"/>
            <w:gridSpan w:val="8"/>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Физика, </w:t>
            </w:r>
            <w:r>
              <w:rPr>
                <w:lang w:val="sr-CS"/>
              </w:rPr>
              <w:t xml:space="preserve">Статистичка физика </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Академска каријера</w:t>
            </w:r>
          </w:p>
        </w:tc>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Година </w:t>
            </w:r>
          </w:p>
        </w:tc>
        <w:tc>
          <w:tcPr>
            <w:tcW w:w="116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Институција </w:t>
            </w:r>
          </w:p>
        </w:tc>
        <w:tc>
          <w:tcPr>
            <w:tcW w:w="2264"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Ужа научна, уметничка односно стручна област </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Избор у звање</w:t>
            </w:r>
          </w:p>
        </w:tc>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2018</w:t>
            </w:r>
          </w:p>
        </w:tc>
        <w:tc>
          <w:tcPr>
            <w:tcW w:w="116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Институт за физику у Београду</w:t>
            </w:r>
          </w:p>
        </w:tc>
        <w:tc>
          <w:tcPr>
            <w:tcW w:w="2264"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Физика</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Докторат</w:t>
            </w:r>
          </w:p>
        </w:tc>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2012</w:t>
            </w:r>
          </w:p>
        </w:tc>
        <w:tc>
          <w:tcPr>
            <w:tcW w:w="116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Физички факултет, Универзитет у Београду</w:t>
            </w:r>
          </w:p>
        </w:tc>
        <w:tc>
          <w:tcPr>
            <w:tcW w:w="2264"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Физика</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t>Магистратура</w:t>
            </w:r>
          </w:p>
        </w:tc>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2010</w:t>
            </w:r>
          </w:p>
        </w:tc>
        <w:tc>
          <w:tcPr>
            <w:tcW w:w="116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Физички факултет, Универзитет у Београду</w:t>
            </w:r>
          </w:p>
        </w:tc>
        <w:tc>
          <w:tcPr>
            <w:tcW w:w="2264"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Физика</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t>Мастер диплома</w:t>
            </w:r>
          </w:p>
        </w:tc>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116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c>
          <w:tcPr>
            <w:tcW w:w="2264"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Диплома</w:t>
            </w:r>
          </w:p>
        </w:tc>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2005</w:t>
            </w:r>
          </w:p>
        </w:tc>
        <w:tc>
          <w:tcPr>
            <w:tcW w:w="116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Физички факултет, Универзитет у Београду</w:t>
            </w:r>
          </w:p>
        </w:tc>
        <w:tc>
          <w:tcPr>
            <w:tcW w:w="2264"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Физика</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b/>
                <w:lang w:val="sr-CS"/>
              </w:rPr>
              <w:t>Списак дисертација</w:t>
            </w:r>
            <w:r>
              <w:rPr>
                <w:b/>
              </w:rPr>
              <w:t xml:space="preserve">-докторских уметничких пројеката </w:t>
            </w:r>
            <w:r>
              <w:rPr>
                <w:b/>
                <w:lang w:val="sr-CS"/>
              </w:rPr>
              <w:t>а у којима је наставнк ментор или је био ментор у претходних 10 година</w:t>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Р.Б.</w:t>
            </w:r>
          </w:p>
        </w:tc>
        <w:tc>
          <w:tcPr>
            <w:tcW w:w="167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lang w:val="sr-CS"/>
              </w:rPr>
              <w:t>Наслов дисертације</w:t>
            </w:r>
            <w:r>
              <w:rPr/>
              <w:t xml:space="preserve">- докторског уметничког пројекта </w:t>
            </w:r>
          </w:p>
        </w:tc>
        <w:tc>
          <w:tcPr>
            <w:tcW w:w="116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Име кандидата</w:t>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*пријављена </w:t>
            </w:r>
          </w:p>
        </w:tc>
        <w:tc>
          <w:tcPr>
            <w:tcW w:w="102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одбрањена</w:t>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1.</w:t>
            </w:r>
          </w:p>
        </w:tc>
        <w:tc>
          <w:tcPr>
            <w:tcW w:w="167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b w:val="false"/>
                <w:b w:val="false"/>
                <w:bCs w:val="false"/>
                <w:sz w:val="20"/>
                <w:szCs w:val="20"/>
                <w:lang w:val="sr-CS"/>
              </w:rPr>
            </w:pPr>
            <w:r>
              <w:rPr>
                <w:rFonts w:cs="Times New Roman"/>
                <w:b w:val="false"/>
                <w:bCs w:val="false"/>
                <w:i w:val="false"/>
                <w:iCs w:val="false"/>
                <w:sz w:val="20"/>
                <w:szCs w:val="20"/>
                <w:lang w:val="sr-CS"/>
              </w:rPr>
              <w:t>Испитивање структурних и динамичких особина комплексних мрежа</w:t>
            </w:r>
          </w:p>
        </w:tc>
        <w:tc>
          <w:tcPr>
            <w:tcW w:w="116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Јелена Смиљнић</w:t>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2017</w:t>
            </w:r>
          </w:p>
        </w:tc>
        <w:tc>
          <w:tcPr>
            <w:tcW w:w="102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2017</w:t>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 xml:space="preserve">2. </w:t>
            </w:r>
          </w:p>
        </w:tc>
        <w:tc>
          <w:tcPr>
            <w:tcW w:w="1670"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Растуће комплексне мреже: структура и динамика</w:t>
            </w:r>
          </w:p>
        </w:tc>
        <w:tc>
          <w:tcPr>
            <w:tcW w:w="116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Ана Вранић</w:t>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2021</w:t>
            </w:r>
          </w:p>
        </w:tc>
        <w:tc>
          <w:tcPr>
            <w:tcW w:w="1022"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*Година  у којој је дисертација</w:t>
            </w:r>
            <w:r>
              <w:rPr/>
              <w:t xml:space="preserve">-докторски уметнички пројекат </w:t>
            </w:r>
            <w:r>
              <w:rPr>
                <w:lang w:val="sr-CS"/>
              </w:rPr>
              <w:t xml:space="preserve"> пријављена</w:t>
            </w:r>
            <w:r>
              <w:rPr/>
              <w:t xml:space="preserve">-пријављен </w:t>
            </w:r>
            <w:r>
              <w:rPr>
                <w:lang w:val="sr-CS"/>
              </w:rPr>
              <w:t>(само за дисертације</w:t>
            </w:r>
            <w:r>
              <w:rPr/>
              <w:t xml:space="preserve">-докторске уметничке пројекте </w:t>
            </w:r>
            <w:r>
              <w:rPr>
                <w:lang w:val="sr-CS"/>
              </w:rPr>
              <w:t xml:space="preserve"> које су у току), ** Година у којој је дисертација</w:t>
            </w:r>
            <w:r>
              <w:rPr/>
              <w:t xml:space="preserve">-докторски уметнички пројекат </w:t>
            </w:r>
            <w:r>
              <w:rPr>
                <w:lang w:val="sr-CS"/>
              </w:rPr>
              <w:t xml:space="preserve"> одбрањена (само за дисертације</w:t>
            </w:r>
            <w:r>
              <w:rPr/>
              <w:t xml:space="preserve">-докторско уметничке пројекте </w:t>
            </w:r>
            <w:r>
              <w:rPr>
                <w:lang w:val="sr-CS"/>
              </w:rPr>
              <w:t xml:space="preserve"> из ранијег периода)</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rPr>
            </w:pPr>
            <w:r>
              <w:rPr>
                <w:b/>
                <w:lang w:val="sr-CS"/>
              </w:rPr>
              <w:t>Категоризација публикације</w:t>
            </w:r>
            <w:r>
              <w:rPr>
                <w:b/>
              </w:rPr>
              <w:t xml:space="preserve"> научних радова  из области датог студијског програма </w:t>
            </w:r>
            <w:r>
              <w:rPr>
                <w:b/>
                <w:lang w:val="sr-CS"/>
              </w:rPr>
              <w:t xml:space="preserve"> према класификацији ре</w:t>
            </w:r>
            <w:r>
              <w:rPr>
                <w:b/>
              </w:rPr>
              <w:t>с</w:t>
            </w:r>
            <w:r>
              <w:rPr>
                <w:b/>
                <w:lang w:val="sr-CS"/>
              </w:rPr>
              <w:t>орног Министарства просвете, науке и технолошког развоја  а у складу са допунским захтевевима  стандарда за дато поље (минимално 5 не више од 20)</w:t>
            </w:r>
          </w:p>
          <w:p>
            <w:pPr>
              <w:pStyle w:val="Normal"/>
              <w:spacing w:before="0" w:after="60"/>
              <w:rPr>
                <w:b/>
                <w:b/>
              </w:rPr>
            </w:pPr>
            <w:r>
              <w:rPr>
                <w:b/>
                <w:lang w:val="sr-CS"/>
              </w:rPr>
              <w:t>Категоризација публикације</w:t>
            </w:r>
            <w:r>
              <w:rPr>
                <w:b/>
              </w:rPr>
              <w:t xml:space="preserve"> уметничких референци  из области датог студијског програма </w:t>
            </w:r>
            <w:r>
              <w:rPr>
                <w:b/>
                <w:lang w:val="sr-CS"/>
              </w:rPr>
              <w:t xml:space="preserve"> према класификацији </w:t>
            </w:r>
            <w:r>
              <w:rPr>
                <w:b/>
              </w:rPr>
              <w:t xml:space="preserve"> из Упутства  за припрему документације  за акредитацију студијског програма </w:t>
            </w:r>
            <w:r>
              <w:rPr>
                <w:b/>
                <w:lang w:val="sr-CS"/>
              </w:rPr>
              <w:t>а у складу са допунским захтевевима  стандарда за дато поље</w:t>
            </w:r>
            <w:r>
              <w:rPr>
                <w:b/>
              </w:rPr>
              <w:t xml:space="preserve"> </w:t>
            </w:r>
            <w:r>
              <w:rPr>
                <w:b/>
                <w:lang w:val="sr-CS"/>
              </w:rPr>
              <w:t xml:space="preserve"> (минимално 5 не више од 20)</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1. </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val="false"/>
                <w:b w:val="false"/>
                <w:bCs w:val="false"/>
                <w:lang w:val="sr-CS"/>
              </w:rPr>
            </w:pPr>
            <w:r>
              <w:rPr>
                <w:b w:val="false"/>
                <w:bCs w:val="false"/>
                <w:lang w:val="sr-CS"/>
              </w:rPr>
              <w:t xml:space="preserve">Vranić, </w:t>
            </w:r>
            <w:r>
              <w:rPr>
                <w:b w:val="false"/>
                <w:bCs w:val="false"/>
                <w:lang w:val="sr-CS"/>
              </w:rPr>
              <w:t>A.</w:t>
            </w:r>
            <w:r>
              <w:rPr>
                <w:b w:val="false"/>
                <w:bCs w:val="false"/>
                <w:lang w:val="sr-CS"/>
              </w:rPr>
              <w:t xml:space="preserve"> and Mitrović Dankulov, </w:t>
            </w:r>
            <w:r>
              <w:rPr>
                <w:b w:val="false"/>
                <w:bCs w:val="false"/>
                <w:lang w:val="sr-CS"/>
              </w:rPr>
              <w:t xml:space="preserve">M., </w:t>
            </w:r>
            <w:r>
              <w:rPr>
                <w:b w:val="false"/>
                <w:bCs w:val="false"/>
                <w:lang w:val="sr-CS"/>
              </w:rPr>
              <w:t xml:space="preserve"> Growth signals determine the topology of evolving networks, J. Stat. Mech. 2021, 013405 (2021). </w:t>
            </w:r>
          </w:p>
        </w:tc>
        <w:tc>
          <w:tcPr>
            <w:tcW w:w="574"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2. </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b w:val="false"/>
                <w:bCs w:val="false"/>
                <w:lang w:val="sr-CS"/>
              </w:rPr>
              <w:t xml:space="preserve">Smiljanić </w:t>
            </w:r>
            <w:r>
              <w:rPr>
                <w:b w:val="false"/>
                <w:bCs w:val="false"/>
                <w:lang w:val="sr-CS"/>
              </w:rPr>
              <w:t>J.</w:t>
            </w:r>
            <w:r>
              <w:rPr>
                <w:b w:val="false"/>
                <w:bCs w:val="false"/>
                <w:lang w:val="sr-CS"/>
              </w:rPr>
              <w:t xml:space="preserve">, Chatterjee, </w:t>
            </w:r>
            <w:r>
              <w:rPr>
                <w:b w:val="false"/>
                <w:bCs w:val="false"/>
                <w:lang w:val="sr-CS"/>
              </w:rPr>
              <w:t>A.,</w:t>
            </w:r>
            <w:r>
              <w:rPr>
                <w:b w:val="false"/>
                <w:bCs w:val="false"/>
                <w:lang w:val="sr-CS"/>
              </w:rPr>
              <w:t xml:space="preserve"> Kauppinen, </w:t>
            </w:r>
            <w:r>
              <w:rPr>
                <w:b w:val="false"/>
                <w:bCs w:val="false"/>
                <w:lang w:val="sr-CS"/>
              </w:rPr>
              <w:t>T.</w:t>
            </w:r>
            <w:r>
              <w:rPr>
                <w:b w:val="false"/>
                <w:bCs w:val="false"/>
                <w:lang w:val="sr-CS"/>
              </w:rPr>
              <w:t xml:space="preserve"> and Mitrović Dankulov, </w:t>
            </w:r>
            <w:r>
              <w:rPr>
                <w:b w:val="false"/>
                <w:bCs w:val="false"/>
                <w:lang w:val="sr-CS"/>
              </w:rPr>
              <w:t>M.,</w:t>
            </w:r>
            <w:r>
              <w:rPr>
                <w:b w:val="false"/>
                <w:bCs w:val="false"/>
                <w:lang w:val="sr-CS"/>
              </w:rPr>
              <w:t xml:space="preserve"> A Theoretical Model for the Associative Nature of Conference Participation, PLoS ONE 11, e0148528 (2016).  </w:t>
            </w:r>
          </w:p>
        </w:tc>
        <w:tc>
          <w:tcPr>
            <w:tcW w:w="574"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3. </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val="false"/>
                <w:b w:val="false"/>
                <w:bCs w:val="false"/>
                <w:lang w:val="sr-CS"/>
              </w:rPr>
            </w:pPr>
            <w:r>
              <w:rPr>
                <w:b w:val="false"/>
                <w:bCs w:val="false"/>
                <w:lang w:val="sr-CS"/>
              </w:rPr>
              <w:t xml:space="preserve">Mitrović Dankulov, </w:t>
            </w:r>
            <w:r>
              <w:rPr>
                <w:b w:val="false"/>
                <w:bCs w:val="false"/>
                <w:lang w:val="sr-CS"/>
              </w:rPr>
              <w:t xml:space="preserve">M., </w:t>
            </w:r>
            <w:r>
              <w:rPr>
                <w:b w:val="false"/>
                <w:bCs w:val="false"/>
                <w:lang w:val="sr-CS"/>
              </w:rPr>
              <w:t xml:space="preserve">Tadić, </w:t>
            </w:r>
            <w:r>
              <w:rPr>
                <w:b w:val="false"/>
                <w:bCs w:val="false"/>
                <w:lang w:val="sr-CS"/>
              </w:rPr>
              <w:t>B.</w:t>
            </w:r>
            <w:r>
              <w:rPr>
                <w:b w:val="false"/>
                <w:bCs w:val="false"/>
                <w:lang w:val="sr-CS"/>
              </w:rPr>
              <w:t xml:space="preserve"> and Melnik, </w:t>
            </w:r>
            <w:r>
              <w:rPr>
                <w:b w:val="false"/>
                <w:bCs w:val="false"/>
                <w:lang w:val="sr-CS"/>
              </w:rPr>
              <w:t>R.,</w:t>
            </w:r>
            <w:r>
              <w:rPr>
                <w:b w:val="false"/>
                <w:bCs w:val="false"/>
                <w:lang w:val="sr-CS"/>
              </w:rPr>
              <w:t xml:space="preserve"> Spectral properties of hyperbolic nanonetworks with tunable aggregation of simplexes, Phys. Rev. E 100, 012309 (2019). </w:t>
            </w:r>
          </w:p>
        </w:tc>
        <w:tc>
          <w:tcPr>
            <w:tcW w:w="574"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4. </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val="false"/>
                <w:b w:val="false"/>
                <w:bCs w:val="false"/>
                <w:lang w:val="sr-CS"/>
              </w:rPr>
            </w:pPr>
            <w:r>
              <w:rPr>
                <w:b w:val="false"/>
                <w:bCs w:val="false"/>
                <w:lang w:val="sr-CS"/>
              </w:rPr>
              <w:t xml:space="preserve">Smiljanić, </w:t>
            </w:r>
            <w:r>
              <w:rPr>
                <w:b w:val="false"/>
                <w:bCs w:val="false"/>
                <w:lang w:val="sr-CS"/>
              </w:rPr>
              <w:t>J.</w:t>
            </w:r>
            <w:r>
              <w:rPr>
                <w:b w:val="false"/>
                <w:bCs w:val="false"/>
                <w:lang w:val="sr-CS"/>
              </w:rPr>
              <w:t xml:space="preserve"> and Mitrović Dankulov, </w:t>
            </w:r>
            <w:r>
              <w:rPr>
                <w:b w:val="false"/>
                <w:bCs w:val="false"/>
                <w:lang w:val="sr-CS"/>
              </w:rPr>
              <w:t>M.,</w:t>
            </w:r>
            <w:r>
              <w:rPr>
                <w:b w:val="false"/>
                <w:bCs w:val="false"/>
                <w:lang w:val="sr-CS"/>
              </w:rPr>
              <w:t xml:space="preserve"> Associative nature of eventparticipation dynamics: A network theory approach, PLoS ONE 12, e0171565 (2017).</w:t>
            </w:r>
          </w:p>
        </w:tc>
        <w:tc>
          <w:tcPr>
            <w:tcW w:w="574"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5. </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val="false"/>
                <w:b w:val="false"/>
                <w:bCs w:val="false"/>
                <w:lang w:val="sr-CS"/>
              </w:rPr>
            </w:pPr>
            <w:r>
              <w:rPr>
                <w:b w:val="false"/>
                <w:bCs w:val="false"/>
                <w:lang w:val="sr-CS"/>
              </w:rPr>
              <w:t xml:space="preserve">Mitrović Dankulov, </w:t>
            </w:r>
            <w:r>
              <w:rPr>
                <w:b w:val="false"/>
                <w:bCs w:val="false"/>
                <w:lang w:val="sr-CS"/>
              </w:rPr>
              <w:t>M.</w:t>
            </w:r>
            <w:r>
              <w:rPr>
                <w:b w:val="false"/>
                <w:bCs w:val="false"/>
                <w:lang w:val="sr-CS"/>
              </w:rPr>
              <w:t xml:space="preserve"> Tadić </w:t>
            </w:r>
            <w:r>
              <w:rPr>
                <w:b w:val="false"/>
                <w:bCs w:val="false"/>
                <w:lang w:val="sr-CS"/>
              </w:rPr>
              <w:t>B.,</w:t>
            </w:r>
            <w:r>
              <w:rPr>
                <w:b w:val="false"/>
                <w:bCs w:val="false"/>
                <w:lang w:val="sr-CS"/>
              </w:rPr>
              <w:t xml:space="preserve"> and Melnik </w:t>
            </w:r>
            <w:r>
              <w:rPr>
                <w:b w:val="false"/>
                <w:bCs w:val="false"/>
                <w:lang w:val="sr-CS"/>
              </w:rPr>
              <w:t>M.</w:t>
            </w:r>
            <w:r>
              <w:rPr>
                <w:b w:val="false"/>
                <w:bCs w:val="false"/>
                <w:lang w:val="sr-CS"/>
              </w:rPr>
              <w:t xml:space="preserve">, The dynamics of meaningful social interactions and the emergence of collective knowledge, Sci. Reps. 5, 12197 (2015). </w:t>
            </w:r>
          </w:p>
        </w:tc>
        <w:tc>
          <w:tcPr>
            <w:tcW w:w="574"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M21a</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6. </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b w:val="false"/>
                <w:bCs w:val="false"/>
                <w:lang w:val="sr-CS"/>
              </w:rPr>
              <w:t xml:space="preserve">Orsini, C., </w:t>
            </w:r>
            <w:r>
              <w:rPr>
                <w:b w:val="false"/>
                <w:bCs w:val="false"/>
                <w:lang w:val="sr-CS"/>
              </w:rPr>
              <w:t xml:space="preserve">Mitrović </w:t>
            </w:r>
            <w:r>
              <w:rPr>
                <w:b w:val="false"/>
                <w:bCs w:val="false"/>
                <w:lang w:val="sr-CS"/>
              </w:rPr>
              <w:t xml:space="preserve">Dankulov, M., Colomer-de-Simón, P., Jamakovic, A., Mahadevan, P., Vahdat, A., ... &amp; Krioukov, D. (2015). Quantifying randomness in real networks. </w:t>
            </w:r>
            <w:r>
              <w:rPr>
                <w:b w:val="false"/>
                <w:bCs w:val="false"/>
                <w:i/>
                <w:lang w:val="sr-CS"/>
              </w:rPr>
              <w:t>Nature communications</w:t>
            </w:r>
            <w:r>
              <w:rPr>
                <w:b w:val="false"/>
                <w:bCs w:val="false"/>
                <w:lang w:val="sr-CS"/>
              </w:rPr>
              <w:t xml:space="preserve">, </w:t>
            </w:r>
            <w:r>
              <w:rPr>
                <w:b w:val="false"/>
                <w:bCs w:val="false"/>
                <w:i/>
                <w:lang w:val="sr-CS"/>
              </w:rPr>
              <w:t>6</w:t>
            </w:r>
            <w:r>
              <w:rPr>
                <w:b w:val="false"/>
                <w:bCs w:val="false"/>
                <w:lang w:val="sr-CS"/>
              </w:rPr>
              <w:t xml:space="preserve">,  </w:t>
            </w:r>
            <w:r>
              <w:rPr>
                <w:b w:val="false"/>
                <w:bCs w:val="false"/>
                <w:lang w:val="sr-CS"/>
              </w:rPr>
              <w:t>8627 (2015).</w:t>
            </w:r>
          </w:p>
        </w:tc>
        <w:tc>
          <w:tcPr>
            <w:tcW w:w="574"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M21a</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7. </w:t>
            </w:r>
          </w:p>
        </w:tc>
        <w:tc>
          <w:tcPr>
            <w:tcW w:w="4470"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b w:val="false"/>
                <w:bCs w:val="false"/>
                <w:lang w:val="sr-CS"/>
              </w:rPr>
              <w:t xml:space="preserve">Fortunato, S., Chatterjee, A., Mitrovic, M., Pan, R., Parolo, P., &amp; Beccattini, F. (2014). Growing time lag threatens Nobels. </w:t>
            </w:r>
            <w:r>
              <w:rPr>
                <w:b w:val="false"/>
                <w:bCs w:val="false"/>
                <w:i/>
                <w:lang w:val="sr-CS"/>
              </w:rPr>
              <w:t>Nature</w:t>
            </w:r>
            <w:r>
              <w:rPr>
                <w:b w:val="false"/>
                <w:bCs w:val="false"/>
                <w:lang w:val="sr-CS"/>
              </w:rPr>
              <w:t xml:space="preserve">, </w:t>
            </w:r>
            <w:r>
              <w:rPr>
                <w:b w:val="false"/>
                <w:bCs w:val="false"/>
                <w:i/>
                <w:lang w:val="sr-CS"/>
              </w:rPr>
              <w:t>508</w:t>
            </w:r>
            <w:r>
              <w:rPr>
                <w:b w:val="false"/>
                <w:bCs w:val="false"/>
                <w:lang w:val="sr-CS"/>
              </w:rPr>
              <w:t xml:space="preserve">(7495), 186. </w:t>
            </w:r>
          </w:p>
        </w:tc>
        <w:tc>
          <w:tcPr>
            <w:tcW w:w="574"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M21a</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Збирни подаци научне активност наставника</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 xml:space="preserve">Збирни подаци </w:t>
            </w:r>
            <w:r>
              <w:rPr>
                <w:b/>
              </w:rPr>
              <w:t xml:space="preserve">уметничке </w:t>
            </w:r>
            <w:r>
              <w:rPr>
                <w:b/>
                <w:lang w:val="sr-CS"/>
              </w:rPr>
              <w:t xml:space="preserve"> активност наставника</w:t>
            </w:r>
          </w:p>
        </w:tc>
      </w:tr>
      <w:tr>
        <w:trPr>
          <w:trHeight w:val="227" w:hRule="atLeast"/>
        </w:trPr>
        <w:tc>
          <w:tcPr>
            <w:tcW w:w="306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Укупан број цитата, без аутоцитата</w:t>
            </w:r>
          </w:p>
        </w:tc>
        <w:tc>
          <w:tcPr>
            <w:tcW w:w="2443"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450</w:t>
            </w:r>
          </w:p>
        </w:tc>
      </w:tr>
      <w:tr>
        <w:trPr>
          <w:trHeight w:val="227" w:hRule="atLeast"/>
        </w:trPr>
        <w:tc>
          <w:tcPr>
            <w:tcW w:w="306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Укупан број радова са SCI (или SSCI) листе</w:t>
            </w:r>
          </w:p>
        </w:tc>
        <w:tc>
          <w:tcPr>
            <w:tcW w:w="2443"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t>25</w:t>
            </w:r>
          </w:p>
        </w:tc>
      </w:tr>
      <w:tr>
        <w:trPr>
          <w:trHeight w:val="227" w:hRule="atLeast"/>
        </w:trPr>
        <w:tc>
          <w:tcPr>
            <w:tcW w:w="306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Тренутно учешће на пројектима</w:t>
            </w:r>
          </w:p>
        </w:tc>
        <w:tc>
          <w:tcPr>
            <w:tcW w:w="1177"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Домаћи</w:t>
            </w:r>
            <w:r>
              <w:rPr>
                <w:lang w:val="sr-CS"/>
              </w:rPr>
              <w:t>:</w:t>
            </w:r>
            <w:r>
              <w:rPr>
                <w:b/>
                <w:lang w:val="sr-CS"/>
              </w:rPr>
              <w:t xml:space="preserve"> </w:t>
            </w:r>
            <w:r>
              <w:rPr>
                <w:b/>
                <w:lang w:val="sr-CS"/>
              </w:rPr>
              <w:t>3</w:t>
            </w:r>
          </w:p>
        </w:tc>
        <w:tc>
          <w:tcPr>
            <w:tcW w:w="1266"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Међународни</w:t>
            </w:r>
            <w:r>
              <w:rPr>
                <w:b/>
                <w:lang w:val="sr-CS"/>
              </w:rPr>
              <w:t xml:space="preserve">: </w:t>
            </w:r>
            <w:r>
              <w:rPr>
                <w:b/>
                <w:lang w:val="sr-CS"/>
              </w:rPr>
              <w:t>1</w:t>
            </w:r>
          </w:p>
        </w:tc>
      </w:tr>
      <w:tr>
        <w:trPr>
          <w:trHeight w:val="227" w:hRule="atLeast"/>
        </w:trPr>
        <w:tc>
          <w:tcPr>
            <w:tcW w:w="306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Усавршавања</w:t>
            </w:r>
          </w:p>
        </w:tc>
        <w:tc>
          <w:tcPr>
            <w:tcW w:w="1177"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c>
          <w:tcPr>
            <w:tcW w:w="1266"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306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Други подаци које сматрате релевантним</w:t>
            </w:r>
          </w:p>
        </w:tc>
        <w:tc>
          <w:tcPr>
            <w:tcW w:w="2443"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r>
        <w:trPr>
          <w:trHeight w:val="227" w:hRule="atLeast"/>
        </w:trPr>
        <w:tc>
          <w:tcPr>
            <w:tcW w:w="3062"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lang w:val="sr-CS"/>
              </w:rPr>
              <w:t>Максимална дужине несме бити већа од  2 странице А4</w:t>
            </w:r>
          </w:p>
        </w:tc>
        <w:tc>
          <w:tcPr>
            <w:tcW w:w="2443"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CS"/>
              </w:rPr>
            </w:pPr>
            <w:r>
              <w:rPr>
                <w:b/>
                <w:lang w:val="sr-CS"/>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before="0" w:after="60"/>
        <w:jc w:val="center"/>
        <w:rPr>
          <w:iCs/>
          <w:sz w:val="22"/>
          <w:szCs w:val="22"/>
          <w:lang w:val="en-US"/>
        </w:rPr>
      </w:pPr>
      <w:r>
        <w:rPr>
          <w:b/>
          <w:iCs/>
          <w:sz w:val="22"/>
          <w:szCs w:val="22"/>
          <w:lang w:val="en-US"/>
        </w:rPr>
        <w:t>Table. 9.8</w:t>
      </w:r>
      <w:r>
        <w:rPr>
          <w:iCs/>
          <w:sz w:val="22"/>
          <w:szCs w:val="22"/>
          <w:lang w:val="en-US"/>
        </w:rPr>
        <w:t xml:space="preserve"> Competences of mentors</w:t>
      </w:r>
    </w:p>
    <w:tbl>
      <w:tblPr>
        <w:tblW w:w="3050" w:type="pct"/>
        <w:jc w:val="center"/>
        <w:tblInd w:w="0" w:type="dxa"/>
        <w:tblCellMar>
          <w:top w:w="0" w:type="dxa"/>
          <w:left w:w="108" w:type="dxa"/>
          <w:bottom w:w="0" w:type="dxa"/>
          <w:right w:w="108" w:type="dxa"/>
        </w:tblCellMar>
        <w:tblLook w:val="01e0"/>
      </w:tblPr>
      <w:tblGrid>
        <w:gridCol w:w="498"/>
        <w:gridCol w:w="28"/>
        <w:gridCol w:w="807"/>
        <w:gridCol w:w="629"/>
        <w:gridCol w:w="76"/>
        <w:gridCol w:w="920"/>
        <w:gridCol w:w="172"/>
        <w:gridCol w:w="110"/>
        <w:gridCol w:w="921"/>
        <w:gridCol w:w="244"/>
        <w:gridCol w:w="481"/>
        <w:gridCol w:w="619"/>
      </w:tblGrid>
      <w:tr>
        <w:trPr>
          <w:trHeight w:val="227" w:hRule="atLeast"/>
        </w:trPr>
        <w:tc>
          <w:tcPr>
            <w:tcW w:w="1962"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Name and family name</w:t>
            </w:r>
          </w:p>
        </w:tc>
        <w:tc>
          <w:tcPr>
            <w:tcW w:w="3543" w:type="dxa"/>
            <w:gridSpan w:val="8"/>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Marija Mitrović Dankulov</w:t>
            </w:r>
          </w:p>
        </w:tc>
      </w:tr>
      <w:tr>
        <w:trPr>
          <w:trHeight w:val="227" w:hRule="atLeast"/>
        </w:trPr>
        <w:tc>
          <w:tcPr>
            <w:tcW w:w="1962"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 xml:space="preserve">Title </w:t>
            </w:r>
          </w:p>
        </w:tc>
        <w:tc>
          <w:tcPr>
            <w:tcW w:w="3543" w:type="dxa"/>
            <w:gridSpan w:val="8"/>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Associate Research Professor</w:t>
            </w:r>
          </w:p>
        </w:tc>
      </w:tr>
      <w:tr>
        <w:trPr>
          <w:trHeight w:val="227" w:hRule="atLeast"/>
        </w:trPr>
        <w:tc>
          <w:tcPr>
            <w:tcW w:w="1962"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Narrow scientific area</w:t>
            </w:r>
          </w:p>
        </w:tc>
        <w:tc>
          <w:tcPr>
            <w:tcW w:w="3543" w:type="dxa"/>
            <w:gridSpan w:val="8"/>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Physics, Statistical Physics</w:t>
            </w:r>
          </w:p>
        </w:tc>
      </w:tr>
      <w:tr>
        <w:trPr>
          <w:trHeight w:val="227" w:hRule="atLeast"/>
        </w:trPr>
        <w:tc>
          <w:tcPr>
            <w:tcW w:w="1333"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Academic career</w:t>
            </w:r>
          </w:p>
        </w:tc>
        <w:tc>
          <w:tcPr>
            <w:tcW w:w="629" w:type="dxa"/>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 xml:space="preserve">Year  </w:t>
            </w:r>
          </w:p>
        </w:tc>
        <w:tc>
          <w:tcPr>
            <w:tcW w:w="1168"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b/>
                <w:sz w:val="22"/>
                <w:szCs w:val="22"/>
                <w:lang w:val="en-US"/>
              </w:rPr>
              <w:t>Academic career</w:t>
            </w:r>
          </w:p>
        </w:tc>
        <w:tc>
          <w:tcPr>
            <w:tcW w:w="237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 xml:space="preserve">Year  </w:t>
            </w:r>
          </w:p>
        </w:tc>
      </w:tr>
      <w:tr>
        <w:trPr>
          <w:trHeight w:val="227" w:hRule="atLeast"/>
        </w:trPr>
        <w:tc>
          <w:tcPr>
            <w:tcW w:w="1333"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Election to the title</w:t>
            </w:r>
          </w:p>
        </w:tc>
        <w:tc>
          <w:tcPr>
            <w:tcW w:w="629" w:type="dxa"/>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2018</w:t>
            </w:r>
          </w:p>
        </w:tc>
        <w:tc>
          <w:tcPr>
            <w:tcW w:w="1168"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Election to the title</w:t>
            </w:r>
          </w:p>
        </w:tc>
        <w:tc>
          <w:tcPr>
            <w:tcW w:w="237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2018</w:t>
            </w:r>
          </w:p>
        </w:tc>
      </w:tr>
      <w:tr>
        <w:trPr>
          <w:trHeight w:val="227" w:hRule="atLeast"/>
        </w:trPr>
        <w:tc>
          <w:tcPr>
            <w:tcW w:w="1333"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PhD</w:t>
            </w:r>
          </w:p>
        </w:tc>
        <w:tc>
          <w:tcPr>
            <w:tcW w:w="629" w:type="dxa"/>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2012</w:t>
            </w:r>
          </w:p>
        </w:tc>
        <w:tc>
          <w:tcPr>
            <w:tcW w:w="1168"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PhD</w:t>
            </w:r>
          </w:p>
        </w:tc>
        <w:tc>
          <w:tcPr>
            <w:tcW w:w="237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2012</w:t>
            </w:r>
          </w:p>
        </w:tc>
      </w:tr>
      <w:tr>
        <w:trPr>
          <w:trHeight w:val="227" w:hRule="atLeast"/>
        </w:trPr>
        <w:tc>
          <w:tcPr>
            <w:tcW w:w="1333"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Master degree</w:t>
            </w:r>
          </w:p>
        </w:tc>
        <w:tc>
          <w:tcPr>
            <w:tcW w:w="629" w:type="dxa"/>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2010</w:t>
            </w:r>
          </w:p>
        </w:tc>
        <w:tc>
          <w:tcPr>
            <w:tcW w:w="1168"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Master degree</w:t>
            </w:r>
          </w:p>
        </w:tc>
        <w:tc>
          <w:tcPr>
            <w:tcW w:w="237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2010</w:t>
            </w:r>
          </w:p>
        </w:tc>
      </w:tr>
      <w:tr>
        <w:trPr>
          <w:trHeight w:val="227" w:hRule="atLeast"/>
        </w:trPr>
        <w:tc>
          <w:tcPr>
            <w:tcW w:w="1333"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Master diploma</w:t>
            </w:r>
          </w:p>
        </w:tc>
        <w:tc>
          <w:tcPr>
            <w:tcW w:w="629" w:type="dxa"/>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r>
          </w:p>
        </w:tc>
        <w:tc>
          <w:tcPr>
            <w:tcW w:w="1168"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Master diploma</w:t>
            </w:r>
          </w:p>
        </w:tc>
        <w:tc>
          <w:tcPr>
            <w:tcW w:w="237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r>
          </w:p>
        </w:tc>
      </w:tr>
      <w:tr>
        <w:trPr>
          <w:trHeight w:val="227" w:hRule="atLeast"/>
        </w:trPr>
        <w:tc>
          <w:tcPr>
            <w:tcW w:w="1333"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 xml:space="preserve">Diploma </w:t>
            </w:r>
          </w:p>
        </w:tc>
        <w:tc>
          <w:tcPr>
            <w:tcW w:w="629" w:type="dxa"/>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2005</w:t>
            </w:r>
          </w:p>
        </w:tc>
        <w:tc>
          <w:tcPr>
            <w:tcW w:w="1168" w:type="dxa"/>
            <w:gridSpan w:val="3"/>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 xml:space="preserve">Diploma </w:t>
            </w:r>
          </w:p>
        </w:tc>
        <w:tc>
          <w:tcPr>
            <w:tcW w:w="237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sz w:val="22"/>
                <w:szCs w:val="22"/>
                <w:lang w:val="en-US"/>
              </w:rPr>
            </w:pPr>
            <w:r>
              <w:rPr>
                <w:sz w:val="22"/>
                <w:szCs w:val="22"/>
                <w:lang w:val="en-US"/>
              </w:rPr>
              <w:t>2005</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b/>
                <w:sz w:val="22"/>
                <w:szCs w:val="22"/>
                <w:lang w:val="en-US"/>
              </w:rPr>
              <w:t xml:space="preserve">A list of dissertations-doctoral art projects in which the teacher is or was a mentor in the past 10 years </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No.</w:t>
            </w:r>
          </w:p>
        </w:tc>
        <w:tc>
          <w:tcPr>
            <w:tcW w:w="151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Title of the dissertation – doctoral art project</w:t>
            </w:r>
          </w:p>
        </w:tc>
        <w:tc>
          <w:tcPr>
            <w:tcW w:w="120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 xml:space="preserve">Name of the candidate </w:t>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 xml:space="preserve">*submitted </w:t>
            </w:r>
          </w:p>
        </w:tc>
        <w:tc>
          <w:tcPr>
            <w:tcW w:w="11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 defended</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1.</w:t>
            </w:r>
          </w:p>
        </w:tc>
        <w:tc>
          <w:tcPr>
            <w:tcW w:w="151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b w:val="false"/>
                <w:b w:val="false"/>
                <w:bCs w:val="false"/>
                <w:sz w:val="20"/>
                <w:szCs w:val="20"/>
                <w:lang w:val="en-US"/>
              </w:rPr>
            </w:pPr>
            <w:r>
              <w:rPr>
                <w:rFonts w:cs="Times New Roman"/>
                <w:b w:val="false"/>
                <w:bCs w:val="false"/>
                <w:i w:val="false"/>
                <w:iCs w:val="false"/>
                <w:sz w:val="20"/>
                <w:szCs w:val="20"/>
                <w:lang w:val="sr-CS"/>
              </w:rPr>
              <w:t>Analysis of structural and dynamical properties of complex networks</w:t>
            </w:r>
          </w:p>
        </w:tc>
        <w:tc>
          <w:tcPr>
            <w:tcW w:w="120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Jelena Smiljanić</w:t>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2017</w:t>
            </w:r>
          </w:p>
        </w:tc>
        <w:tc>
          <w:tcPr>
            <w:tcW w:w="11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2017</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 xml:space="preserve">2. </w:t>
            </w:r>
          </w:p>
        </w:tc>
        <w:tc>
          <w:tcPr>
            <w:tcW w:w="151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Evolving complex networks: structure and dynamics</w:t>
            </w:r>
          </w:p>
        </w:tc>
        <w:tc>
          <w:tcPr>
            <w:tcW w:w="120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Ana Vranić</w:t>
            </w:r>
          </w:p>
        </w:tc>
        <w:tc>
          <w:tcPr>
            <w:tcW w:w="116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2021</w:t>
            </w:r>
          </w:p>
        </w:tc>
        <w:tc>
          <w:tcPr>
            <w:tcW w:w="110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sz w:val="22"/>
                <w:szCs w:val="22"/>
                <w:lang w:val="en-US"/>
              </w:rPr>
            </w:pPr>
            <w:r>
              <w:rPr>
                <w:sz w:val="22"/>
                <w:szCs w:val="22"/>
                <w:lang w:val="en-US"/>
              </w:rPr>
              <w:t>*</w:t>
            </w:r>
            <w:r>
              <w:rPr>
                <w:lang w:val="en-US"/>
              </w:rPr>
              <w:t xml:space="preserve"> </w:t>
            </w:r>
            <w:r>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jc w:val="both"/>
              <w:rPr>
                <w:b/>
                <w:b/>
                <w:sz w:val="22"/>
                <w:szCs w:val="22"/>
                <w:lang w:val="en-US"/>
              </w:rPr>
            </w:pPr>
            <w:r>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pPr>
              <w:pStyle w:val="Normal"/>
              <w:spacing w:before="0" w:after="60"/>
              <w:jc w:val="both"/>
              <w:rPr>
                <w:b/>
                <w:b/>
                <w:sz w:val="22"/>
                <w:szCs w:val="22"/>
                <w:lang w:val="en-US"/>
              </w:rPr>
            </w:pPr>
            <w:r>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trPr>
          <w:trHeight w:val="227" w:hRule="atLeast"/>
        </w:trPr>
        <w:tc>
          <w:tcPr>
            <w:tcW w:w="49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1.</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val="false"/>
                <w:bCs w:val="false"/>
                <w:sz w:val="22"/>
                <w:szCs w:val="22"/>
                <w:lang w:val="sr-CS"/>
              </w:rPr>
              <w:t xml:space="preserve">Vranić, </w:t>
            </w:r>
            <w:r>
              <w:rPr>
                <w:b w:val="false"/>
                <w:bCs w:val="false"/>
                <w:sz w:val="22"/>
                <w:szCs w:val="22"/>
                <w:lang w:val="sr-CS"/>
              </w:rPr>
              <w:t>A.</w:t>
            </w:r>
            <w:r>
              <w:rPr>
                <w:b w:val="false"/>
                <w:bCs w:val="false"/>
                <w:sz w:val="22"/>
                <w:szCs w:val="22"/>
                <w:lang w:val="sr-CS"/>
              </w:rPr>
              <w:t xml:space="preserve"> and Mitrović Dankulov, </w:t>
            </w:r>
            <w:r>
              <w:rPr>
                <w:b w:val="false"/>
                <w:bCs w:val="false"/>
                <w:sz w:val="22"/>
                <w:szCs w:val="22"/>
                <w:lang w:val="sr-CS"/>
              </w:rPr>
              <w:t xml:space="preserve">M., </w:t>
            </w:r>
            <w:r>
              <w:rPr>
                <w:b w:val="false"/>
                <w:bCs w:val="false"/>
                <w:sz w:val="22"/>
                <w:szCs w:val="22"/>
                <w:lang w:val="sr-CS"/>
              </w:rPr>
              <w:t xml:space="preserve"> Growth signals determine the topology of evolving networks, J. Stat. Mech. 2021, 013405 (2021). </w:t>
            </w:r>
          </w:p>
        </w:tc>
        <w:tc>
          <w:tcPr>
            <w:tcW w:w="61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M21</w:t>
            </w:r>
          </w:p>
        </w:tc>
      </w:tr>
      <w:tr>
        <w:trPr>
          <w:trHeight w:val="227" w:hRule="atLeast"/>
        </w:trPr>
        <w:tc>
          <w:tcPr>
            <w:tcW w:w="49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2.</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val="false"/>
                <w:bCs w:val="false"/>
                <w:sz w:val="22"/>
                <w:szCs w:val="22"/>
                <w:lang w:val="sr-CS"/>
              </w:rPr>
              <w:t xml:space="preserve">Smiljanić </w:t>
            </w:r>
            <w:r>
              <w:rPr>
                <w:b w:val="false"/>
                <w:bCs w:val="false"/>
                <w:sz w:val="22"/>
                <w:szCs w:val="22"/>
                <w:lang w:val="sr-CS"/>
              </w:rPr>
              <w:t>J.</w:t>
            </w:r>
            <w:r>
              <w:rPr>
                <w:b w:val="false"/>
                <w:bCs w:val="false"/>
                <w:sz w:val="22"/>
                <w:szCs w:val="22"/>
                <w:lang w:val="sr-CS"/>
              </w:rPr>
              <w:t xml:space="preserve">, Chatterjee, </w:t>
            </w:r>
            <w:r>
              <w:rPr>
                <w:b w:val="false"/>
                <w:bCs w:val="false"/>
                <w:sz w:val="22"/>
                <w:szCs w:val="22"/>
                <w:lang w:val="sr-CS"/>
              </w:rPr>
              <w:t>A.,</w:t>
            </w:r>
            <w:r>
              <w:rPr>
                <w:b w:val="false"/>
                <w:bCs w:val="false"/>
                <w:sz w:val="22"/>
                <w:szCs w:val="22"/>
                <w:lang w:val="sr-CS"/>
              </w:rPr>
              <w:t xml:space="preserve"> Kauppinen, </w:t>
            </w:r>
            <w:r>
              <w:rPr>
                <w:b w:val="false"/>
                <w:bCs w:val="false"/>
                <w:sz w:val="22"/>
                <w:szCs w:val="22"/>
                <w:lang w:val="sr-CS"/>
              </w:rPr>
              <w:t>T.</w:t>
            </w:r>
            <w:r>
              <w:rPr>
                <w:b w:val="false"/>
                <w:bCs w:val="false"/>
                <w:sz w:val="22"/>
                <w:szCs w:val="22"/>
                <w:lang w:val="sr-CS"/>
              </w:rPr>
              <w:t xml:space="preserve"> and Mitrović Dankulov, </w:t>
            </w:r>
            <w:r>
              <w:rPr>
                <w:b w:val="false"/>
                <w:bCs w:val="false"/>
                <w:sz w:val="22"/>
                <w:szCs w:val="22"/>
                <w:lang w:val="sr-CS"/>
              </w:rPr>
              <w:t>M.,</w:t>
            </w:r>
            <w:r>
              <w:rPr>
                <w:b w:val="false"/>
                <w:bCs w:val="false"/>
                <w:sz w:val="22"/>
                <w:szCs w:val="22"/>
                <w:lang w:val="sr-CS"/>
              </w:rPr>
              <w:t xml:space="preserve"> A Theoretical Model for the Associative Nature of Conference Participation, PLoS ONE 11, e0148528 (2016).  </w:t>
            </w:r>
          </w:p>
        </w:tc>
        <w:tc>
          <w:tcPr>
            <w:tcW w:w="61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M21</w:t>
            </w:r>
          </w:p>
        </w:tc>
      </w:tr>
      <w:tr>
        <w:trPr>
          <w:trHeight w:val="227" w:hRule="atLeast"/>
        </w:trPr>
        <w:tc>
          <w:tcPr>
            <w:tcW w:w="49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3.</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val="false"/>
                <w:bCs w:val="false"/>
                <w:sz w:val="22"/>
                <w:szCs w:val="22"/>
                <w:lang w:val="sr-CS"/>
              </w:rPr>
              <w:t xml:space="preserve">Mitrović Dankulov, </w:t>
            </w:r>
            <w:r>
              <w:rPr>
                <w:b w:val="false"/>
                <w:bCs w:val="false"/>
                <w:sz w:val="22"/>
                <w:szCs w:val="22"/>
                <w:lang w:val="sr-CS"/>
              </w:rPr>
              <w:t xml:space="preserve">M., </w:t>
            </w:r>
            <w:r>
              <w:rPr>
                <w:b w:val="false"/>
                <w:bCs w:val="false"/>
                <w:sz w:val="22"/>
                <w:szCs w:val="22"/>
                <w:lang w:val="sr-CS"/>
              </w:rPr>
              <w:t xml:space="preserve">Tadić, </w:t>
            </w:r>
            <w:r>
              <w:rPr>
                <w:b w:val="false"/>
                <w:bCs w:val="false"/>
                <w:sz w:val="22"/>
                <w:szCs w:val="22"/>
                <w:lang w:val="sr-CS"/>
              </w:rPr>
              <w:t>B.</w:t>
            </w:r>
            <w:r>
              <w:rPr>
                <w:b w:val="false"/>
                <w:bCs w:val="false"/>
                <w:sz w:val="22"/>
                <w:szCs w:val="22"/>
                <w:lang w:val="sr-CS"/>
              </w:rPr>
              <w:t xml:space="preserve"> and Melnik, </w:t>
            </w:r>
            <w:r>
              <w:rPr>
                <w:b w:val="false"/>
                <w:bCs w:val="false"/>
                <w:sz w:val="22"/>
                <w:szCs w:val="22"/>
                <w:lang w:val="sr-CS"/>
              </w:rPr>
              <w:t>R.,</w:t>
            </w:r>
            <w:r>
              <w:rPr>
                <w:b w:val="false"/>
                <w:bCs w:val="false"/>
                <w:sz w:val="22"/>
                <w:szCs w:val="22"/>
                <w:lang w:val="sr-CS"/>
              </w:rPr>
              <w:t xml:space="preserve"> Spectral properties of hyperbolic nanonetworks with tunable aggregation of simplexes, Phys. Rev. E 100, 012309 (2019). </w:t>
            </w:r>
          </w:p>
        </w:tc>
        <w:tc>
          <w:tcPr>
            <w:tcW w:w="61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M21</w:t>
            </w:r>
          </w:p>
        </w:tc>
      </w:tr>
      <w:tr>
        <w:trPr>
          <w:trHeight w:val="227" w:hRule="atLeast"/>
        </w:trPr>
        <w:tc>
          <w:tcPr>
            <w:tcW w:w="49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 xml:space="preserve">4. </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val="false"/>
                <w:bCs w:val="false"/>
                <w:sz w:val="22"/>
                <w:szCs w:val="22"/>
                <w:lang w:val="sr-CS"/>
              </w:rPr>
              <w:t xml:space="preserve">Smiljanić, </w:t>
            </w:r>
            <w:r>
              <w:rPr>
                <w:b w:val="false"/>
                <w:bCs w:val="false"/>
                <w:sz w:val="22"/>
                <w:szCs w:val="22"/>
                <w:lang w:val="sr-CS"/>
              </w:rPr>
              <w:t>J.</w:t>
            </w:r>
            <w:r>
              <w:rPr>
                <w:b w:val="false"/>
                <w:bCs w:val="false"/>
                <w:sz w:val="22"/>
                <w:szCs w:val="22"/>
                <w:lang w:val="sr-CS"/>
              </w:rPr>
              <w:t xml:space="preserve"> and Mitrović Dankulov, </w:t>
            </w:r>
            <w:r>
              <w:rPr>
                <w:b w:val="false"/>
                <w:bCs w:val="false"/>
                <w:sz w:val="22"/>
                <w:szCs w:val="22"/>
                <w:lang w:val="sr-CS"/>
              </w:rPr>
              <w:t>M.,</w:t>
            </w:r>
            <w:r>
              <w:rPr>
                <w:b w:val="false"/>
                <w:bCs w:val="false"/>
                <w:sz w:val="22"/>
                <w:szCs w:val="22"/>
                <w:lang w:val="sr-CS"/>
              </w:rPr>
              <w:t xml:space="preserve"> Associative nature of eventparticipation dynamics: A network theory approach, PLoS ONE 12, e0171565 (2017).</w:t>
            </w:r>
          </w:p>
        </w:tc>
        <w:tc>
          <w:tcPr>
            <w:tcW w:w="61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M21</w:t>
            </w:r>
          </w:p>
        </w:tc>
      </w:tr>
      <w:tr>
        <w:trPr>
          <w:trHeight w:val="227" w:hRule="atLeast"/>
        </w:trPr>
        <w:tc>
          <w:tcPr>
            <w:tcW w:w="49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 xml:space="preserve">5. </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val="false"/>
                <w:bCs w:val="false"/>
                <w:sz w:val="22"/>
                <w:szCs w:val="22"/>
                <w:lang w:val="sr-CS"/>
              </w:rPr>
              <w:t xml:space="preserve">Mitrović Dankulov, </w:t>
            </w:r>
            <w:r>
              <w:rPr>
                <w:b w:val="false"/>
                <w:bCs w:val="false"/>
                <w:sz w:val="22"/>
                <w:szCs w:val="22"/>
                <w:lang w:val="sr-CS"/>
              </w:rPr>
              <w:t>M.</w:t>
            </w:r>
            <w:r>
              <w:rPr>
                <w:b w:val="false"/>
                <w:bCs w:val="false"/>
                <w:sz w:val="22"/>
                <w:szCs w:val="22"/>
                <w:lang w:val="sr-CS"/>
              </w:rPr>
              <w:t xml:space="preserve"> Tadić </w:t>
            </w:r>
            <w:r>
              <w:rPr>
                <w:b w:val="false"/>
                <w:bCs w:val="false"/>
                <w:sz w:val="22"/>
                <w:szCs w:val="22"/>
                <w:lang w:val="sr-CS"/>
              </w:rPr>
              <w:t>B.,</w:t>
            </w:r>
            <w:r>
              <w:rPr>
                <w:b w:val="false"/>
                <w:bCs w:val="false"/>
                <w:sz w:val="22"/>
                <w:szCs w:val="22"/>
                <w:lang w:val="sr-CS"/>
              </w:rPr>
              <w:t xml:space="preserve"> and Melnik </w:t>
            </w:r>
            <w:r>
              <w:rPr>
                <w:b w:val="false"/>
                <w:bCs w:val="false"/>
                <w:sz w:val="22"/>
                <w:szCs w:val="22"/>
                <w:lang w:val="sr-CS"/>
              </w:rPr>
              <w:t>M.</w:t>
            </w:r>
            <w:r>
              <w:rPr>
                <w:b w:val="false"/>
                <w:bCs w:val="false"/>
                <w:sz w:val="22"/>
                <w:szCs w:val="22"/>
                <w:lang w:val="sr-CS"/>
              </w:rPr>
              <w:t xml:space="preserve">, The dynamics of meaningful social interactions and the emergence of collective knowledge, Sci. Reps. 5, 12197 (2015). </w:t>
            </w:r>
          </w:p>
        </w:tc>
        <w:tc>
          <w:tcPr>
            <w:tcW w:w="61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M21a</w:t>
            </w:r>
          </w:p>
        </w:tc>
      </w:tr>
      <w:tr>
        <w:trPr>
          <w:trHeight w:val="227" w:hRule="atLeast"/>
        </w:trPr>
        <w:tc>
          <w:tcPr>
            <w:tcW w:w="49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 xml:space="preserve">6. </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val="false"/>
                <w:bCs w:val="false"/>
                <w:sz w:val="22"/>
                <w:szCs w:val="22"/>
                <w:lang w:val="sr-CS"/>
              </w:rPr>
              <w:t xml:space="preserve">Orsini, C., </w:t>
            </w:r>
            <w:r>
              <w:rPr>
                <w:b w:val="false"/>
                <w:bCs w:val="false"/>
                <w:sz w:val="22"/>
                <w:szCs w:val="22"/>
                <w:lang w:val="sr-CS"/>
              </w:rPr>
              <w:t xml:space="preserve">Mitrović </w:t>
            </w:r>
            <w:r>
              <w:rPr>
                <w:b w:val="false"/>
                <w:bCs w:val="false"/>
                <w:sz w:val="22"/>
                <w:szCs w:val="22"/>
                <w:lang w:val="sr-CS"/>
              </w:rPr>
              <w:t xml:space="preserve">Dankulov, M., Colomer-de-Simón, P., Jamakovic, A., Mahadevan, P., Vahdat, A., ... &amp; Krioukov, D. (2015). Quantifying randomness in real networks. </w:t>
            </w:r>
            <w:r>
              <w:rPr>
                <w:b w:val="false"/>
                <w:bCs w:val="false"/>
                <w:i/>
                <w:sz w:val="22"/>
                <w:szCs w:val="22"/>
                <w:lang w:val="sr-CS"/>
              </w:rPr>
              <w:t>Nature communications</w:t>
            </w:r>
            <w:r>
              <w:rPr>
                <w:b w:val="false"/>
                <w:bCs w:val="false"/>
                <w:sz w:val="22"/>
                <w:szCs w:val="22"/>
                <w:lang w:val="sr-CS"/>
              </w:rPr>
              <w:t xml:space="preserve">, </w:t>
            </w:r>
            <w:r>
              <w:rPr>
                <w:b w:val="false"/>
                <w:bCs w:val="false"/>
                <w:i/>
                <w:sz w:val="22"/>
                <w:szCs w:val="22"/>
                <w:lang w:val="sr-CS"/>
              </w:rPr>
              <w:t>6</w:t>
            </w:r>
            <w:r>
              <w:rPr>
                <w:b w:val="false"/>
                <w:bCs w:val="false"/>
                <w:sz w:val="22"/>
                <w:szCs w:val="22"/>
                <w:lang w:val="sr-CS"/>
              </w:rPr>
              <w:t xml:space="preserve">,  </w:t>
            </w:r>
            <w:r>
              <w:rPr>
                <w:b w:val="false"/>
                <w:bCs w:val="false"/>
                <w:sz w:val="22"/>
                <w:szCs w:val="22"/>
                <w:lang w:val="sr-CS"/>
              </w:rPr>
              <w:t>8627 (2015).</w:t>
            </w:r>
          </w:p>
        </w:tc>
        <w:tc>
          <w:tcPr>
            <w:tcW w:w="61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M21a</w:t>
            </w:r>
          </w:p>
        </w:tc>
      </w:tr>
      <w:tr>
        <w:trPr>
          <w:trHeight w:val="227" w:hRule="atLeast"/>
        </w:trPr>
        <w:tc>
          <w:tcPr>
            <w:tcW w:w="49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7.</w:t>
            </w:r>
          </w:p>
        </w:tc>
        <w:tc>
          <w:tcPr>
            <w:tcW w:w="4388" w:type="dxa"/>
            <w:gridSpan w:val="10"/>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val="false"/>
                <w:bCs w:val="false"/>
                <w:sz w:val="22"/>
                <w:szCs w:val="22"/>
                <w:lang w:val="sr-CS"/>
              </w:rPr>
              <w:t xml:space="preserve">Fortunato, S., Chatterjee, A., Mitrovic, M., Pan, R., Parolo, P., &amp; Beccattini, F. (2014). Growing time lag threatens Nobels. </w:t>
            </w:r>
            <w:r>
              <w:rPr>
                <w:b w:val="false"/>
                <w:bCs w:val="false"/>
                <w:i/>
                <w:sz w:val="22"/>
                <w:szCs w:val="22"/>
                <w:lang w:val="sr-CS"/>
              </w:rPr>
              <w:t>Nature</w:t>
            </w:r>
            <w:r>
              <w:rPr>
                <w:b w:val="false"/>
                <w:bCs w:val="false"/>
                <w:sz w:val="22"/>
                <w:szCs w:val="22"/>
                <w:lang w:val="sr-CS"/>
              </w:rPr>
              <w:t xml:space="preserve">, </w:t>
            </w:r>
            <w:r>
              <w:rPr>
                <w:b w:val="false"/>
                <w:bCs w:val="false"/>
                <w:i/>
                <w:sz w:val="22"/>
                <w:szCs w:val="22"/>
                <w:lang w:val="sr-CS"/>
              </w:rPr>
              <w:t>508</w:t>
            </w:r>
            <w:r>
              <w:rPr>
                <w:b w:val="false"/>
                <w:bCs w:val="false"/>
                <w:sz w:val="22"/>
                <w:szCs w:val="22"/>
                <w:lang w:val="sr-CS"/>
              </w:rPr>
              <w:t xml:space="preserve">(7495), 186. </w:t>
            </w:r>
          </w:p>
        </w:tc>
        <w:tc>
          <w:tcPr>
            <w:tcW w:w="619"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M21a</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2958" w:type="dxa"/>
            <w:gridSpan w:val="6"/>
            <w:tcBorders>
              <w:top w:val="single" w:sz="4" w:space="0" w:color="000000"/>
              <w:left w:val="single" w:sz="4" w:space="0" w:color="000000"/>
              <w:bottom w:val="single" w:sz="4" w:space="0" w:color="000000"/>
              <w:right w:val="single" w:sz="4" w:space="0" w:color="000000"/>
            </w:tcBorders>
          </w:tcPr>
          <w:p>
            <w:pPr>
              <w:pStyle w:val="Normal"/>
              <w:rPr>
                <w:sz w:val="22"/>
                <w:szCs w:val="22"/>
                <w:lang w:val="en-US"/>
              </w:rPr>
            </w:pPr>
            <w:r>
              <w:rPr>
                <w:sz w:val="22"/>
                <w:szCs w:val="22"/>
                <w:lang w:val="en-US"/>
              </w:rPr>
              <w:t>Total number of citations, without self citations</w:t>
            </w:r>
          </w:p>
        </w:tc>
        <w:tc>
          <w:tcPr>
            <w:tcW w:w="2547"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450</w:t>
            </w:r>
          </w:p>
        </w:tc>
      </w:tr>
      <w:tr>
        <w:trPr>
          <w:trHeight w:val="227" w:hRule="atLeast"/>
        </w:trPr>
        <w:tc>
          <w:tcPr>
            <w:tcW w:w="2958" w:type="dxa"/>
            <w:gridSpan w:val="6"/>
            <w:tcBorders>
              <w:top w:val="single" w:sz="4" w:space="0" w:color="000000"/>
              <w:left w:val="single" w:sz="4" w:space="0" w:color="000000"/>
              <w:bottom w:val="single" w:sz="4" w:space="0" w:color="000000"/>
              <w:right w:val="single" w:sz="4" w:space="0" w:color="000000"/>
            </w:tcBorders>
          </w:tcPr>
          <w:p>
            <w:pPr>
              <w:pStyle w:val="Normal"/>
              <w:rPr>
                <w:sz w:val="22"/>
                <w:szCs w:val="22"/>
                <w:lang w:val="en-US"/>
              </w:rPr>
            </w:pPr>
            <w:r>
              <w:rPr>
                <w:sz w:val="22"/>
                <w:szCs w:val="22"/>
                <w:lang w:val="en-US"/>
              </w:rPr>
              <w:t>Total number of papers on the SCI (or SSCI) list</w:t>
            </w:r>
          </w:p>
        </w:tc>
        <w:tc>
          <w:tcPr>
            <w:tcW w:w="2547"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t>25</w:t>
            </w:r>
          </w:p>
        </w:tc>
      </w:tr>
      <w:tr>
        <w:trPr>
          <w:trHeight w:val="227" w:hRule="atLeast"/>
        </w:trPr>
        <w:tc>
          <w:tcPr>
            <w:tcW w:w="2958" w:type="dxa"/>
            <w:gridSpan w:val="6"/>
            <w:tcBorders>
              <w:top w:val="single" w:sz="4" w:space="0" w:color="000000"/>
              <w:left w:val="single" w:sz="4" w:space="0" w:color="000000"/>
              <w:bottom w:val="single" w:sz="4" w:space="0" w:color="000000"/>
              <w:right w:val="single" w:sz="4" w:space="0" w:color="000000"/>
            </w:tcBorders>
          </w:tcPr>
          <w:p>
            <w:pPr>
              <w:pStyle w:val="Normal"/>
              <w:rPr>
                <w:sz w:val="22"/>
                <w:szCs w:val="22"/>
                <w:lang w:val="en-US"/>
              </w:rPr>
            </w:pPr>
            <w:r>
              <w:rPr>
                <w:sz w:val="22"/>
                <w:szCs w:val="22"/>
                <w:lang w:val="en-US"/>
              </w:rPr>
              <w:t>Current participation in projects</w:t>
            </w: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sz w:val="22"/>
                <w:szCs w:val="22"/>
                <w:lang w:val="en-US"/>
              </w:rPr>
              <w:t xml:space="preserve">Domestic: </w:t>
            </w:r>
            <w:r>
              <w:rPr>
                <w:sz w:val="22"/>
                <w:szCs w:val="22"/>
                <w:lang w:val="en-US"/>
              </w:rPr>
              <w:t>3</w:t>
            </w:r>
            <w:r>
              <w:rPr>
                <w:sz w:val="22"/>
                <w:szCs w:val="22"/>
                <w:lang w:val="en-US"/>
              </w:rPr>
              <w:t xml:space="preserve"> </w:t>
            </w:r>
          </w:p>
        </w:tc>
        <w:tc>
          <w:tcPr>
            <w:tcW w:w="1344"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sz w:val="22"/>
                <w:szCs w:val="22"/>
                <w:lang w:val="en-US"/>
              </w:rPr>
              <w:t>International</w:t>
            </w:r>
            <w:r>
              <w:rPr>
                <w:b/>
                <w:sz w:val="22"/>
                <w:szCs w:val="22"/>
                <w:lang w:val="en-US"/>
              </w:rPr>
              <w:t xml:space="preserve">: </w:t>
            </w:r>
            <w:r>
              <w:rPr>
                <w:b/>
                <w:sz w:val="22"/>
                <w:szCs w:val="22"/>
                <w:lang w:val="en-US"/>
              </w:rPr>
              <w:t>1</w:t>
            </w:r>
          </w:p>
        </w:tc>
      </w:tr>
      <w:tr>
        <w:trPr>
          <w:trHeight w:val="227" w:hRule="atLeast"/>
        </w:trPr>
        <w:tc>
          <w:tcPr>
            <w:tcW w:w="2958" w:type="dxa"/>
            <w:gridSpan w:val="6"/>
            <w:tcBorders>
              <w:top w:val="single" w:sz="4" w:space="0" w:color="000000"/>
              <w:left w:val="single" w:sz="4" w:space="0" w:color="000000"/>
              <w:bottom w:val="single" w:sz="4" w:space="0" w:color="000000"/>
              <w:right w:val="single" w:sz="4" w:space="0" w:color="000000"/>
            </w:tcBorders>
          </w:tcPr>
          <w:p>
            <w:pPr>
              <w:pStyle w:val="Normal"/>
              <w:rPr>
                <w:sz w:val="22"/>
                <w:szCs w:val="22"/>
                <w:lang w:val="en-US"/>
              </w:rPr>
            </w:pPr>
            <w:r>
              <w:rPr>
                <w:sz w:val="22"/>
                <w:szCs w:val="22"/>
                <w:lang w:val="en-US"/>
              </w:rPr>
              <w:t xml:space="preserve">Specialization </w:t>
            </w: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c>
          <w:tcPr>
            <w:tcW w:w="1344"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r>
      <w:tr>
        <w:trPr>
          <w:trHeight w:val="227" w:hRule="atLeast"/>
        </w:trPr>
        <w:tc>
          <w:tcPr>
            <w:tcW w:w="2958" w:type="dxa"/>
            <w:gridSpan w:val="6"/>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Other information you consider to be important</w:t>
            </w:r>
          </w:p>
        </w:tc>
        <w:tc>
          <w:tcPr>
            <w:tcW w:w="2547"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r>
      <w:tr>
        <w:trPr>
          <w:trHeight w:val="227" w:hRule="atLeast"/>
        </w:trPr>
        <w:tc>
          <w:tcPr>
            <w:tcW w:w="2958" w:type="dxa"/>
            <w:gridSpan w:val="6"/>
            <w:tcBorders>
              <w:top w:val="single" w:sz="4" w:space="0" w:color="000000"/>
              <w:left w:val="single" w:sz="4" w:space="0" w:color="000000"/>
              <w:bottom w:val="single" w:sz="4" w:space="0" w:color="000000"/>
              <w:right w:val="single" w:sz="4" w:space="0" w:color="000000"/>
            </w:tcBorders>
          </w:tcPr>
          <w:p>
            <w:pPr>
              <w:pStyle w:val="Normal"/>
              <w:rPr>
                <w:lang w:val="en-US"/>
              </w:rPr>
            </w:pPr>
            <w:r>
              <w:rPr>
                <w:lang w:val="en-US"/>
              </w:rPr>
              <w:t>Maximum length may not be over 2 А4 pages</w:t>
            </w:r>
          </w:p>
        </w:tc>
        <w:tc>
          <w:tcPr>
            <w:tcW w:w="2547"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sz w:val="22"/>
                <w:szCs w:val="22"/>
                <w:lang w:val="en-US"/>
              </w:rPr>
            </w:pPr>
            <w:r>
              <w:rPr>
                <w:b/>
                <w:sz w:val="22"/>
                <w:szCs w:val="22"/>
                <w:lang w:val="en-US"/>
              </w:rPr>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10"/>
  <w:defaultTabStop w:val="720"/>
  <w:autoHyphenation w:val="true"/>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c3cb8"/>
    <w:pPr>
      <w:widowControl w:val="false"/>
      <w:suppressAutoHyphens w:val="true"/>
      <w:bidi w:val="0"/>
      <w:spacing w:lineRule="auto" w:line="240" w:before="0" w:after="0"/>
      <w:jc w:val="left"/>
    </w:pPr>
    <w:rPr>
      <w:rFonts w:ascii="Times New Roman" w:hAnsi="Times New Roman" w:eastAsia="Cambria" w:cs="Times New Roman"/>
      <w:color w:val="auto"/>
      <w:kern w:val="0"/>
      <w:sz w:val="20"/>
      <w:szCs w:val="20"/>
      <w:lang w:val="sr-Latn-CS" w:eastAsia="sr-Latn-CS" w:bidi="ar-SA"/>
    </w:rPr>
  </w:style>
  <w:style w:type="character" w:styleId="DefaultParagraphFont" w:default="1">
    <w:name w:val="Default Paragraph Font"/>
    <w:uiPriority w:val="1"/>
    <w:semiHidden/>
    <w:unhideWhenUsed/>
    <w:qFormat/>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Application>LibreOffice/6.4.6.2$Linux_X86_64 LibreOffice_project/40$Build-2</Application>
  <Pages>4</Pages>
  <Words>546</Words>
  <Characters>3113</Characters>
  <CharactersWithSpaces>3652</CharactersWithSpaces>
  <Paragraphs>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2021-04-29T10:18:00Z</dcterms:created>
  <dc:creator>Windows User</dc:creator>
  <dc:description/>
  <dc:language>en-US</dc:language>
  <cp:lastModifiedBy>Marija Mitrović Dankilov</cp:lastModifiedBy>
  <dcterms:modified xsi:type="dcterms:W3CDTF">2021-05-05T10:28:39Z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